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B4DBD" w:rsidRDefault="009A32CA" w:rsidP="00CB4DBD">
      <w:pPr>
        <w:pStyle w:val="a6"/>
        <w:spacing w:after="0"/>
        <w:ind w:left="0"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Приложение №4 к Документации </w:t>
      </w:r>
      <w:r w:rsidR="00530802" w:rsidRPr="00CB4DBD">
        <w:rPr>
          <w:rFonts w:cs="Tahoma"/>
          <w:i/>
          <w:szCs w:val="20"/>
        </w:rPr>
        <w:t>о закупке</w:t>
      </w:r>
    </w:p>
    <w:p w:rsidR="009A32CA" w:rsidRPr="00CB4DBD" w:rsidRDefault="009A32CA" w:rsidP="00CB4DBD">
      <w:pPr>
        <w:pStyle w:val="a6"/>
        <w:spacing w:after="0"/>
        <w:ind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 </w:t>
      </w:r>
    </w:p>
    <w:p w:rsidR="009A32CA" w:rsidRPr="00CB4DBD" w:rsidRDefault="009A32CA" w:rsidP="00CB4DBD">
      <w:pPr>
        <w:spacing w:after="0" w:line="240" w:lineRule="auto"/>
        <w:jc w:val="center"/>
        <w:rPr>
          <w:rFonts w:cs="Tahoma"/>
          <w:b/>
        </w:rPr>
      </w:pPr>
      <w:r w:rsidRPr="00CB4DBD">
        <w:rPr>
          <w:rFonts w:cs="Tahoma"/>
          <w:b/>
        </w:rPr>
        <w:t xml:space="preserve">Сведения о начальной (максимальной) цене единицы каждого товара, работы, услуги, </w:t>
      </w:r>
      <w:r w:rsidR="00CB4DBD" w:rsidRPr="00CB4DBD">
        <w:rPr>
          <w:rFonts w:cs="Tahoma"/>
          <w:b/>
        </w:rPr>
        <w:t>являющихся предметом</w:t>
      </w:r>
      <w:r w:rsidRPr="00CB4DBD">
        <w:rPr>
          <w:rFonts w:cs="Tahoma"/>
          <w:b/>
        </w:rPr>
        <w:t xml:space="preserve"> закупки</w:t>
      </w:r>
    </w:p>
    <w:p w:rsidR="00E76AE1" w:rsidRPr="00CB4DBD" w:rsidRDefault="00E76AE1" w:rsidP="00CB4DBD">
      <w:pPr>
        <w:spacing w:after="0" w:line="240" w:lineRule="auto"/>
        <w:rPr>
          <w:rFonts w:cs="Tahoma"/>
          <w:b/>
        </w:rPr>
      </w:pPr>
    </w:p>
    <w:tbl>
      <w:tblPr>
        <w:tblW w:w="15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992"/>
        <w:gridCol w:w="2265"/>
        <w:gridCol w:w="998"/>
        <w:gridCol w:w="5673"/>
        <w:gridCol w:w="426"/>
        <w:gridCol w:w="566"/>
        <w:gridCol w:w="567"/>
        <w:gridCol w:w="152"/>
        <w:gridCol w:w="17"/>
        <w:gridCol w:w="551"/>
        <w:gridCol w:w="17"/>
        <w:gridCol w:w="1254"/>
        <w:gridCol w:w="568"/>
        <w:gridCol w:w="1275"/>
        <w:gridCol w:w="11"/>
      </w:tblGrid>
      <w:tr w:rsidR="00687CE9" w:rsidRPr="004171F4" w:rsidTr="00D65A87">
        <w:trPr>
          <w:gridAfter w:val="1"/>
          <w:wAfter w:w="11" w:type="dxa"/>
          <w:trHeight w:val="20"/>
          <w:tblHeader/>
        </w:trPr>
        <w:tc>
          <w:tcPr>
            <w:tcW w:w="421" w:type="dxa"/>
            <w:vMerge w:val="restart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</w:pPr>
            <w:r w:rsidRPr="00BE67E6"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  <w:t>Код</w:t>
            </w:r>
            <w:r w:rsidRPr="00BE67E6"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  <w:br/>
              <w:t>ОКПД2</w:t>
            </w:r>
          </w:p>
        </w:tc>
        <w:tc>
          <w:tcPr>
            <w:tcW w:w="2266" w:type="dxa"/>
            <w:vMerge w:val="restart"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</w:pPr>
            <w:r w:rsidRPr="00BE67E6"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  <w:t xml:space="preserve">Мера по предоставлению национального режима </w:t>
            </w:r>
            <w:r w:rsidRPr="00BE67E6"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  <w:br/>
              <w:t>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998" w:type="dxa"/>
            <w:vMerge w:val="restart"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Наименование закупаемого товара</w:t>
            </w:r>
          </w:p>
        </w:tc>
        <w:tc>
          <w:tcPr>
            <w:tcW w:w="5675" w:type="dxa"/>
            <w:vMerge w:val="restart"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Характеристика продукции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20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Ед. изм.</w:t>
            </w:r>
          </w:p>
        </w:tc>
        <w:tc>
          <w:tcPr>
            <w:tcW w:w="1285" w:type="dxa"/>
            <w:gridSpan w:val="3"/>
            <w:vMerge w:val="restart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Начальная (максимальная) цена единицы товара, рублей</w:t>
            </w:r>
            <w:r w:rsidRPr="00BE67E6">
              <w:rPr>
                <w:rFonts w:eastAsia="Times New Roman" w:cs="Tahoma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34" w:type="dxa"/>
            <w:gridSpan w:val="4"/>
            <w:noWrap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АО «ЭнергосбыТ Плюс»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 xml:space="preserve">АО "Коми </w:t>
            </w:r>
            <w:proofErr w:type="spellStart"/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энергосбытовая</w:t>
            </w:r>
            <w:proofErr w:type="spellEnd"/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 xml:space="preserve"> компания"</w:t>
            </w:r>
          </w:p>
        </w:tc>
      </w:tr>
      <w:tr w:rsidR="00687CE9" w:rsidRPr="004171F4" w:rsidTr="00D65A87">
        <w:trPr>
          <w:gridAfter w:val="1"/>
          <w:wAfter w:w="11" w:type="dxa"/>
          <w:trHeight w:val="20"/>
          <w:tblHeader/>
        </w:trPr>
        <w:tc>
          <w:tcPr>
            <w:tcW w:w="421" w:type="dxa"/>
            <w:vMerge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66" w:type="dxa"/>
            <w:vMerge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8" w:type="dxa"/>
            <w:vMerge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5" w:type="dxa"/>
            <w:vMerge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5" w:type="dxa"/>
            <w:gridSpan w:val="3"/>
            <w:vMerge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gridSpan w:val="2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Кол-во</w:t>
            </w:r>
          </w:p>
        </w:tc>
        <w:tc>
          <w:tcPr>
            <w:tcW w:w="1266" w:type="dxa"/>
            <w:gridSpan w:val="2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sz w:val="14"/>
                <w:szCs w:val="14"/>
                <w:lang w:eastAsia="ru-RU"/>
              </w:rPr>
              <w:t>Сумма по позиции, рублей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Кол-во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sz w:val="14"/>
                <w:szCs w:val="14"/>
                <w:lang w:eastAsia="ru-RU"/>
              </w:rPr>
              <w:t>Сумма по позиции, рублей</w:t>
            </w:r>
          </w:p>
        </w:tc>
      </w:tr>
      <w:tr w:rsidR="002973E7" w:rsidRPr="004171F4" w:rsidTr="00D65A87">
        <w:trPr>
          <w:gridAfter w:val="1"/>
          <w:wAfter w:w="11" w:type="dxa"/>
          <w:trHeight w:val="1615"/>
        </w:trPr>
        <w:tc>
          <w:tcPr>
            <w:tcW w:w="421" w:type="dxa"/>
            <w:vMerge w:val="restart"/>
            <w:hideMark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26.20.14</w:t>
            </w:r>
          </w:p>
        </w:tc>
        <w:tc>
          <w:tcPr>
            <w:tcW w:w="2266" w:type="dxa"/>
          </w:tcPr>
          <w:p w:rsidR="002973E7" w:rsidRPr="004171F4" w:rsidRDefault="002973E7" w:rsidP="00A8634B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Сервер 1</w:t>
            </w:r>
          </w:p>
          <w:p w:rsidR="002973E7" w:rsidRDefault="002973E7" w:rsidP="004171F4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  <w:p w:rsidR="002973E7" w:rsidRPr="004171F4" w:rsidRDefault="002973E7" w:rsidP="004171F4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5675" w:type="dxa"/>
            <w:vMerge w:val="restart"/>
          </w:tcPr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х86 архитектуры, обладающий следующими характеристиками: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Количество ядер процессоров: не менее 48 шт.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Базовая частота процессоров: не менее 2.9 ГГц; 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  <w:lang w:val="en-US"/>
              </w:rPr>
            </w:pPr>
            <w:r w:rsidRPr="0073664C">
              <w:rPr>
                <w:rFonts w:cs="Tahoma"/>
                <w:sz w:val="16"/>
                <w:szCs w:val="16"/>
              </w:rPr>
              <w:t>Процессоры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семейства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не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ниже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  <w:lang w:val="en-US"/>
              </w:rPr>
            </w:pPr>
            <w:r w:rsidRPr="0073664C">
              <w:rPr>
                <w:rFonts w:cs="Tahoma"/>
                <w:sz w:val="16"/>
                <w:szCs w:val="16"/>
              </w:rPr>
              <w:t>Материнская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плата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платформы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должна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поддерживать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установку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процессоров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, </w:t>
            </w:r>
            <w:r w:rsidRPr="0073664C">
              <w:rPr>
                <w:rFonts w:cs="Tahoma"/>
                <w:sz w:val="16"/>
                <w:szCs w:val="16"/>
              </w:rPr>
              <w:t>как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4th Gen Intel® Xeon® Scalable Processors, </w:t>
            </w:r>
            <w:r w:rsidRPr="0073664C">
              <w:rPr>
                <w:rFonts w:cs="Tahoma"/>
                <w:sz w:val="16"/>
                <w:szCs w:val="16"/>
              </w:rPr>
              <w:t>так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и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Количество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полнопрофильных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слотов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PCIe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версии 5.0 х16: не менее 2 шт.;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Суммарный объем ОЗУ: не менее 256 ГБ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двухбитовых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ошибок;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 подсистему хранения сервера должны быть установлены 16 (шестнадцать) SSD накопителя формата 2.5 дюйма, каждый из которых имеет интерфейс SATA 6Gb/s, объём 7.68 ТБ или лучшие характеристики.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комплектоваться RAID-контроллером,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Все SSD накопители формата 2.5 дюйма должны быть подключены к RAID-контроллеру;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Модули охлаждения сервера должны иметь резервирование уровня N+1.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иметь сетевые интерфейсы SFP+ на задней панели в количестве не меньше 2 (двух) штук. Скорость передачи данных каждого интерфейса на менее 10 Гбит\с. В каждый из портов должен быть установлен трансивер 10G LC SR.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lastRenderedPageBreak/>
              <w:t>Сервер должен комплектоваться дополнительно 2 (двумя) трансиверами 10G LC SR, аналогичными установленными в сетевую карту, для установки в коммутатор;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иметь не менее одного порта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выделенного для доступа к модулю управления и мониторинга.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Подсистема электропитания сервера должна иметь схему электропитания с отказоустойчивостью (N+1).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иметь аппаратный модуль управления и мониторинга с возможностью реализации следующих функций: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удаленная перезагрузка, включение/выключение;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удаленная установка операционной системы;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многопользовательского режима;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виртуальная, независимая от операционной системы, консоль (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Virtual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KVM);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подключение образов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VirtualMedia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для установки и загрузки ОС;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графического интерфейса и управления посредством интерфейса командной строки;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возможность удаленного обновления микрокода модуля управления.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IPMI.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Сведения о сервере должны содержаться в едином реестре российской радиоэлектронной продукции</w:t>
            </w:r>
          </w:p>
          <w:p w:rsidR="0073664C" w:rsidRPr="0073664C" w:rsidRDefault="0073664C" w:rsidP="0073664C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      </w:r>
          </w:p>
          <w:p w:rsidR="002973E7" w:rsidRPr="004171F4" w:rsidRDefault="002973E7" w:rsidP="004171F4">
            <w:pPr>
              <w:tabs>
                <w:tab w:val="left" w:pos="210"/>
              </w:tabs>
              <w:spacing w:after="0" w:line="240" w:lineRule="auto"/>
              <w:ind w:right="-106"/>
              <w:contextualSpacing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1285" w:type="dxa"/>
            <w:gridSpan w:val="3"/>
            <w:vMerge w:val="restart"/>
          </w:tcPr>
          <w:p w:rsidR="002973E7" w:rsidRPr="004171F4" w:rsidRDefault="00D9166B" w:rsidP="004171F4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11 002 000,00</w:t>
            </w:r>
          </w:p>
        </w:tc>
        <w:tc>
          <w:tcPr>
            <w:tcW w:w="568" w:type="dxa"/>
            <w:gridSpan w:val="2"/>
            <w:vMerge w:val="restart"/>
          </w:tcPr>
          <w:p w:rsidR="002973E7" w:rsidRPr="004171F4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6" w:type="dxa"/>
            <w:gridSpan w:val="2"/>
            <w:vMerge w:val="restart"/>
          </w:tcPr>
          <w:p w:rsidR="002973E7" w:rsidRPr="004171F4" w:rsidRDefault="00D9166B" w:rsidP="004171F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D9166B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11 002 000,00</w:t>
            </w:r>
          </w:p>
        </w:tc>
        <w:tc>
          <w:tcPr>
            <w:tcW w:w="568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5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</w:tr>
      <w:tr w:rsidR="002973E7" w:rsidRPr="004171F4" w:rsidTr="00D65A87">
        <w:trPr>
          <w:gridAfter w:val="1"/>
          <w:wAfter w:w="11" w:type="dxa"/>
          <w:trHeight w:val="70"/>
        </w:trPr>
        <w:tc>
          <w:tcPr>
            <w:tcW w:w="421" w:type="dxa"/>
            <w:vMerge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:rsidR="002973E7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</w:tcPr>
          <w:p w:rsidR="002973E7" w:rsidRDefault="002973E7" w:rsidP="0078571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:rsidR="002973E7" w:rsidRPr="004171F4" w:rsidRDefault="002973E7" w:rsidP="004171F4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5675" w:type="dxa"/>
            <w:vMerge/>
          </w:tcPr>
          <w:p w:rsidR="002973E7" w:rsidRPr="004171F4" w:rsidRDefault="002973E7" w:rsidP="004171F4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3"/>
            <w:vMerge/>
          </w:tcPr>
          <w:p w:rsidR="002973E7" w:rsidRDefault="002973E7" w:rsidP="004171F4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gridSpan w:val="2"/>
            <w:vMerge/>
          </w:tcPr>
          <w:p w:rsidR="002973E7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gridSpan w:val="2"/>
            <w:vMerge/>
          </w:tcPr>
          <w:p w:rsidR="002973E7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vMerge/>
          </w:tcPr>
          <w:p w:rsidR="002973E7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</w:tcPr>
          <w:p w:rsidR="002973E7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</w:tr>
      <w:tr w:rsidR="002973E7" w:rsidRPr="004171F4" w:rsidTr="00D65A87">
        <w:trPr>
          <w:gridAfter w:val="1"/>
          <w:wAfter w:w="11" w:type="dxa"/>
          <w:trHeight w:val="16995"/>
        </w:trPr>
        <w:tc>
          <w:tcPr>
            <w:tcW w:w="421" w:type="dxa"/>
            <w:tcBorders>
              <w:bottom w:val="single" w:sz="4" w:space="0" w:color="auto"/>
            </w:tcBorders>
            <w:hideMark/>
          </w:tcPr>
          <w:p w:rsidR="002973E7" w:rsidRPr="004171F4" w:rsidRDefault="002973E7" w:rsidP="005F1CFA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993" w:type="dxa"/>
          </w:tcPr>
          <w:p w:rsidR="002973E7" w:rsidRPr="004171F4" w:rsidRDefault="002973E7" w:rsidP="005F1CFA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2973E7" w:rsidRPr="004171F4" w:rsidRDefault="002973E7" w:rsidP="002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ind w:right="-102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Сервер 2</w:t>
            </w: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х86 архитектуры, обладающий следующими характеристиками: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Количество ядер процессоров: не менее 48 шт.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Базовая частота процессоров: не менее 2.9 ГГц; 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  <w:lang w:val="en-US"/>
              </w:rPr>
            </w:pPr>
            <w:r w:rsidRPr="0073664C">
              <w:rPr>
                <w:rFonts w:cs="Tahoma"/>
                <w:sz w:val="16"/>
                <w:szCs w:val="16"/>
              </w:rPr>
              <w:t>Процессоры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семейства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не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ниже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  <w:lang w:val="en-US"/>
              </w:rPr>
            </w:pPr>
            <w:r w:rsidRPr="0073664C">
              <w:rPr>
                <w:rFonts w:cs="Tahoma"/>
                <w:sz w:val="16"/>
                <w:szCs w:val="16"/>
              </w:rPr>
              <w:t>Материнская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плата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платформы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должна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поддерживать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установку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процессоров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, </w:t>
            </w:r>
            <w:r w:rsidRPr="0073664C">
              <w:rPr>
                <w:rFonts w:cs="Tahoma"/>
                <w:sz w:val="16"/>
                <w:szCs w:val="16"/>
              </w:rPr>
              <w:t>как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4th Gen Intel® Xeon® Scalable Processors, </w:t>
            </w:r>
            <w:r w:rsidRPr="0073664C">
              <w:rPr>
                <w:rFonts w:cs="Tahoma"/>
                <w:sz w:val="16"/>
                <w:szCs w:val="16"/>
              </w:rPr>
              <w:t>так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и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Количество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полнопрофильных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слотов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PCIe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версии 5.0 х16: не менее 2 шт.;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Суммарный объем ОЗУ: не менее 1024 ГБ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двухбитовых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ошибок;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В подсистему хранения сервера должны быть установлены 2 (два) SSD накопителя формата М.2 или 2.5 дюйма, каждый из которых имеет интерфейс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NVMe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или SAS, объём 960 ГБ, 1 DWPD или лучшие характеристики.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В подсистему хранения сервера должны быть установлены 4 (четыре) SSD накопителя формата 2.5 дюйма, каждый из которых имеет интерфейс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NVMe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или SAS, объём 3.84 ТБ, 1 DWPD или лучшие характеристики.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В случае поставки сервера с накопителями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NVMe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cервер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должен комплектоваться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Tri-Mode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RAID-контроллером, поддерживающим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NVMe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 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 случае поставки сервера с накопителями SAS сервер должен комплектоваться RAID-контроллером,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Все SSD накопители формата 2.5 дюйма должны быть подключены к RAID-контроллеру;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 случае поставки сервера с накопителями формата M.2 все SSD накопители формата М.2 должны быть объединены в RAID-массив;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Модули охлаждения сервера должны иметь резервирование уровня N+1.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иметь сетевые интерфейсы SFP28 на задней панели в количестве не меньше 2 (двух) штук. Скорость передачи данных каждого интерфейса на менее 25 Гбит\с. В каждый из портов должен быть установлен трансивер 25G LC SR.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комплектоваться дополнительно 2 (двумя) трансиверами 25G LC SR, аналогичными установленными в сетевую карту, для установки в коммутатор;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комплектоваться дискретным графическим контроллером с графическим процессор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Quadro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RTX, имеющим не менее 16 ГБ видеопамяти формата GDDR6, интерфейс подключения не ниже PCI-E 4.0,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видеоразъемы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DisplayPort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в количестве не менее 4 штук;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иметь не менее одного порта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выделенного для доступа к модулю управления и мониторинга.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lastRenderedPageBreak/>
              <w:t>Подсистема электропитания сервера должна иметь схему электропитания с отказоустойчивостью (N+1).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иметь аппаратный модуль управления и мониторинга с возможностью реализации следующих функций: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удаленная перезагрузка, включение/выключение;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удаленная установка операционной системы;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многопользовательского режима;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виртуальная, независимая от операционной системы, консоль (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Virtual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KVM);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подключение образов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VirtualMedia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для установки и загрузки ОС;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графического интерфейса и управления посредством интерфейса командной строки;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возможность удаленного обновления микрокода модуля управления.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IPMI.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Сведения о сервере должны содержаться в едином реестре российской радиоэлектронной продукции</w:t>
            </w:r>
          </w:p>
          <w:p w:rsidR="0073664C" w:rsidRPr="0073664C" w:rsidRDefault="0073664C" w:rsidP="0073664C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      </w:r>
          </w:p>
          <w:p w:rsidR="002973E7" w:rsidRPr="00D65A87" w:rsidRDefault="002973E7" w:rsidP="00D65A87">
            <w:pPr>
              <w:rPr>
                <w:rFonts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</w:tcPr>
          <w:p w:rsidR="002973E7" w:rsidRPr="004171F4" w:rsidRDefault="00D857AE" w:rsidP="005F1CFA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9 025</w:t>
            </w:r>
            <w:r w:rsidR="002973E7"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6" w:type="dxa"/>
            <w:gridSpan w:val="2"/>
            <w:tcBorders>
              <w:bottom w:val="single" w:sz="4" w:space="0" w:color="auto"/>
            </w:tcBorders>
          </w:tcPr>
          <w:p w:rsidR="002973E7" w:rsidRPr="004171F4" w:rsidRDefault="00D857AE" w:rsidP="005F1CF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9 025</w:t>
            </w:r>
            <w:r w:rsidR="002973E7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</w:tr>
      <w:tr w:rsidR="002973E7" w:rsidRPr="004171F4" w:rsidTr="00D65A87">
        <w:trPr>
          <w:gridAfter w:val="1"/>
          <w:wAfter w:w="11" w:type="dxa"/>
          <w:trHeight w:val="17188"/>
        </w:trPr>
        <w:tc>
          <w:tcPr>
            <w:tcW w:w="421" w:type="dxa"/>
            <w:hideMark/>
          </w:tcPr>
          <w:p w:rsidR="002973E7" w:rsidRPr="004171F4" w:rsidRDefault="002973E7" w:rsidP="000924D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93" w:type="dxa"/>
          </w:tcPr>
          <w:p w:rsidR="002973E7" w:rsidRPr="004171F4" w:rsidRDefault="002973E7" w:rsidP="000924D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26.20.14</w:t>
            </w:r>
          </w:p>
        </w:tc>
        <w:tc>
          <w:tcPr>
            <w:tcW w:w="2266" w:type="dxa"/>
          </w:tcPr>
          <w:p w:rsidR="002973E7" w:rsidRPr="004171F4" w:rsidRDefault="002973E7" w:rsidP="002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</w:tcPr>
          <w:p w:rsidR="002973E7" w:rsidRPr="004171F4" w:rsidRDefault="002973E7" w:rsidP="000924D7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Сервер 3</w:t>
            </w:r>
          </w:p>
        </w:tc>
        <w:tc>
          <w:tcPr>
            <w:tcW w:w="5675" w:type="dxa"/>
          </w:tcPr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Серверное оборудование х86 архитектуры, обладающее следующими характеристиками: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Количество ядер процессоров в каждом сервере: не менее 128 шт.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Базовая частота процессоров: не менее 1,9 ГГц; 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  <w:lang w:val="en-US"/>
              </w:rPr>
            </w:pPr>
            <w:r w:rsidRPr="0073664C">
              <w:rPr>
                <w:rFonts w:cs="Tahoma"/>
                <w:sz w:val="16"/>
                <w:szCs w:val="16"/>
              </w:rPr>
              <w:t>Процессоры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семейства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не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ниже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  <w:lang w:val="en-US"/>
              </w:rPr>
            </w:pPr>
            <w:r w:rsidRPr="0073664C">
              <w:rPr>
                <w:rFonts w:cs="Tahoma"/>
                <w:sz w:val="16"/>
                <w:szCs w:val="16"/>
              </w:rPr>
              <w:t>Материнская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плата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платформы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должна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поддерживать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установку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процессоров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, </w:t>
            </w:r>
            <w:r w:rsidRPr="0073664C">
              <w:rPr>
                <w:rFonts w:cs="Tahoma"/>
                <w:sz w:val="16"/>
                <w:szCs w:val="16"/>
              </w:rPr>
              <w:t>как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4th Gen Intel® Xeon® Scalable Processors, </w:t>
            </w:r>
            <w:r w:rsidRPr="0073664C">
              <w:rPr>
                <w:rFonts w:cs="Tahoma"/>
                <w:sz w:val="16"/>
                <w:szCs w:val="16"/>
              </w:rPr>
              <w:t>так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и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Количество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полнопрофильных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слотов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PCIe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версии 5.0 х16: не менее 4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шт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Суммарный объем ОЗУ каждого сервера: не менее 1 024 ГБ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двухбитовых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ошибок;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Корпус каждого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В подсистему хранения каждого сервера должны быть установлены 2 (два) SSD накопителя формата М.2 или 2.5 дюйма, каждый из которых имеет интерфейс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NVMe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или SAS, объём 960 ГБ, 1 DWPD или лучшие характеристики.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В подсистему хранения каждого сервера должны быть установлены 4 (четыре) SSD накопителя формата 2.5 дюйма, каждый из которых имеет интерфейс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NVMe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, объём 3.84 ТБ, 1 DWPD или лучшие характеристики.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Каждый сервер должен комплектоваться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Tri-Mode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RAID-контроллером, поддерживающим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NVMe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Все SSD накопители формата 2.5 дюйма должны быть подключены к RAID-контроллеру;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Все SSD накопители формата М.2 должны быть объединены в RAID-массив;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Модули охлаждения каждого сервера должны иметь резервирование уровня N+1.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Каждый сервер должен иметь сетевые интерфейсы RJ45 на задней панели в количестве не меньше 2 (двух) штук. Скорость передачи данных каждого интерфейса не менее 10 Гбит\с. 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Каждый сервер должен иметь сетевые интерфейсы SFP28 на задней панели в количестве не меньше 2 (двух) штук. Скорость передачи данных каждого интерфейса на менее 25 Гбит\с. В каждый из портов должен быть установлен трансивер 25G LC SR.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Каждый сервер должен комплектоваться дополнительно 2 (двумя) трансиверами 25G LC SR, аналогичными установленными в сетевую карту, для установки в коммутатор;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Каждый сервер должен иметь не менее одного порта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выделенного для доступа к модулю управления и мониторинга.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Подсистема электропитания каждого сервера должна иметь схему электропитания с отказоустойчивостью (N+1).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Каждый 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Каждый 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lastRenderedPageBreak/>
              <w:t>Каждый сервер должен иметь аппаратный модуль управления и мониторинга с возможностью реализации следующих функций: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удаленная перезагрузка, включение/выключение;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удаленная установка операционной системы;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многопользовательского режима;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виртуальная, независимая от операционной системы, консоль (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Virtual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KVM);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подключение образов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VirtualMedia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для установки и загрузки ОС;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графического интерфейса и управления посредством интерфейса командной строки;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возможность удаленного обновления микрокода модуля управления.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IPMI.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Каждый сервере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Все серверы должны иметь возможность объединения для работы в едином кластере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Все серверы должны быть одинаковыми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Сведения о серверах должны содержаться в едином реестре российской радиоэлектронной продукции</w:t>
            </w:r>
          </w:p>
          <w:p w:rsidR="0073664C" w:rsidRPr="0073664C" w:rsidRDefault="0073664C" w:rsidP="0073664C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      </w:r>
          </w:p>
          <w:p w:rsidR="002973E7" w:rsidRPr="004171F4" w:rsidRDefault="002973E7" w:rsidP="000924D7">
            <w:pPr>
              <w:tabs>
                <w:tab w:val="left" w:pos="142"/>
                <w:tab w:val="left" w:pos="270"/>
              </w:tabs>
              <w:spacing w:after="0" w:line="240" w:lineRule="auto"/>
              <w:ind w:right="-108"/>
              <w:contextualSpacing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</w:tcPr>
          <w:p w:rsidR="002973E7" w:rsidRPr="004171F4" w:rsidRDefault="002973E7" w:rsidP="000924D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1285" w:type="dxa"/>
            <w:gridSpan w:val="3"/>
          </w:tcPr>
          <w:p w:rsidR="002973E7" w:rsidRPr="004171F4" w:rsidRDefault="00B43483" w:rsidP="000924D7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11 270</w:t>
            </w:r>
            <w:bookmarkStart w:id="0" w:name="_GoBack"/>
            <w:bookmarkEnd w:id="0"/>
            <w:r w:rsidR="00CB1870"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 xml:space="preserve"> 000</w:t>
            </w:r>
            <w:r w:rsidR="002973E7"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68" w:type="dxa"/>
            <w:gridSpan w:val="2"/>
          </w:tcPr>
          <w:p w:rsidR="002973E7" w:rsidRPr="004171F4" w:rsidRDefault="002973E7" w:rsidP="000924D7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6" w:type="dxa"/>
            <w:gridSpan w:val="2"/>
          </w:tcPr>
          <w:p w:rsidR="002973E7" w:rsidRPr="004171F4" w:rsidRDefault="00CB1870" w:rsidP="000924D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33 810 000</w:t>
            </w:r>
            <w:r w:rsidR="002973E7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68" w:type="dxa"/>
          </w:tcPr>
          <w:p w:rsidR="002973E7" w:rsidRPr="004171F4" w:rsidRDefault="002973E7" w:rsidP="000924D7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5" w:type="dxa"/>
          </w:tcPr>
          <w:p w:rsidR="002973E7" w:rsidRPr="004171F4" w:rsidRDefault="002973E7" w:rsidP="000924D7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</w:tr>
      <w:tr w:rsidR="002973E7" w:rsidRPr="004171F4" w:rsidTr="00D65A87">
        <w:trPr>
          <w:gridAfter w:val="1"/>
          <w:wAfter w:w="11" w:type="dxa"/>
          <w:trHeight w:val="15450"/>
        </w:trPr>
        <w:tc>
          <w:tcPr>
            <w:tcW w:w="421" w:type="dxa"/>
            <w:hideMark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993" w:type="dxa"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26.20.14</w:t>
            </w:r>
          </w:p>
        </w:tc>
        <w:tc>
          <w:tcPr>
            <w:tcW w:w="2266" w:type="dxa"/>
          </w:tcPr>
          <w:p w:rsidR="002973E7" w:rsidRPr="004171F4" w:rsidRDefault="002973E7" w:rsidP="002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</w:tcPr>
          <w:p w:rsidR="002973E7" w:rsidRPr="004171F4" w:rsidRDefault="002973E7" w:rsidP="00061942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Сервер 4</w:t>
            </w:r>
          </w:p>
        </w:tc>
        <w:tc>
          <w:tcPr>
            <w:tcW w:w="5675" w:type="dxa"/>
          </w:tcPr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х86 архитектуры, обладающий следующими характеристиками: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Количество ядер процессоров: не менее 64 шт.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Базовая частота процессоров: не менее 2.8 ГГц; 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  <w:lang w:val="en-US"/>
              </w:rPr>
            </w:pPr>
            <w:r w:rsidRPr="0073664C">
              <w:rPr>
                <w:rFonts w:cs="Tahoma"/>
                <w:sz w:val="16"/>
                <w:szCs w:val="16"/>
              </w:rPr>
              <w:t>Процессоры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семейства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не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ниже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  <w:lang w:val="en-US"/>
              </w:rPr>
            </w:pPr>
            <w:r w:rsidRPr="0073664C">
              <w:rPr>
                <w:rFonts w:cs="Tahoma"/>
                <w:sz w:val="16"/>
                <w:szCs w:val="16"/>
              </w:rPr>
              <w:t>Материнская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плата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платформы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должна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поддерживать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установку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процессоров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, </w:t>
            </w:r>
            <w:r w:rsidRPr="0073664C">
              <w:rPr>
                <w:rFonts w:cs="Tahoma"/>
                <w:sz w:val="16"/>
                <w:szCs w:val="16"/>
              </w:rPr>
              <w:t>как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4th Gen Intel® Xeon® Scalable Processors, </w:t>
            </w:r>
            <w:r w:rsidRPr="0073664C">
              <w:rPr>
                <w:rFonts w:cs="Tahoma"/>
                <w:sz w:val="16"/>
                <w:szCs w:val="16"/>
              </w:rPr>
              <w:t>так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73664C">
              <w:rPr>
                <w:rFonts w:cs="Tahoma"/>
                <w:sz w:val="16"/>
                <w:szCs w:val="16"/>
              </w:rPr>
              <w:t>и</w:t>
            </w:r>
            <w:r w:rsidRPr="0073664C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Материнская плата платформы должна содержать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полнопрофильные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слоты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PCIe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версии 5.0 х16 в количестве не менее 2 шт. 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Суммарный объем ОЗУ: не менее 128 ГБ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Количество модулей оперативной памяти должно быть таким, чтобы использовать одинаковое количество каналов памяти установленных процессоров.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двухбитовых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ошибок;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 подсистему хранения сервера должны быть установлены 3 (три) HDD накопителя формата 2.5 дюйма, каждый из которых имеет интерфейс SAS, объём 1200 ГБ или лучшие характеристики.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комплектоваться RAID-контроллером, поддерживающим SAS, с активированной поддержкой уровней RAID 0, 1, 5, 6, 10, 60.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Все HDD накопители должны быть подключены к этому RAID-контроллеру;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Модули охлаждения сервера должны иметь резервирование уровня N+1.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иметь сетевые интерфейсы RJ45 на задней панели в количестве не меньше 4 (четырех) штук. Скорость передачи данных каждого интерфейса на менее 1 Гбит\с. 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иметь FC SFP+ интерфейсы на задней панели в количестве не меньше 4 (четырех) штук. Скорость передачи данных каждого интерфейса не менее 16 Гбит\с. В каждый из портов должен быть установлен трансивер FC16 LC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Shortwave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комплектоваться дополнительно 4 (четырьмя) трансиверами FC16 LC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Shortwave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, аналогичными установленными в HBA карту, для установки в коммутатор;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иметь не менее одного порта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выделенного для доступа к модулю управления и мониторинга.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Подсистема электропитания сервера должна иметь схему электропитания с отказоустойчивостью (1+1).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Сервер должен иметь аппаратный модуль управления и мониторинга с возможностью реализации следующих функций: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удаленная перезагрузка, включение/выключение;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удаленная установка операционной системы;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lastRenderedPageBreak/>
              <w:t>поддержка многопользовательского режима;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виртуальная, независимая от операционной системы, консоль (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Virtual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KVM);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подключение образов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VirtualMedia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для установки и загрузки ОС;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графического интерфейса и управления посредством интерфейса командной строки;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возможность удаленного обновления микрокода модуля управления.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Поддержка IPMI.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Сведения о сервере должны содержаться в едином реестре российской радиоэлектронной продукции</w:t>
            </w:r>
          </w:p>
          <w:p w:rsidR="0073664C" w:rsidRPr="0073664C" w:rsidRDefault="0073664C" w:rsidP="0073664C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      </w:r>
          </w:p>
          <w:p w:rsidR="002973E7" w:rsidRPr="004171F4" w:rsidRDefault="002973E7" w:rsidP="00061942">
            <w:pPr>
              <w:tabs>
                <w:tab w:val="left" w:pos="160"/>
              </w:tabs>
              <w:spacing w:after="0" w:line="240" w:lineRule="auto"/>
              <w:ind w:right="-106"/>
              <w:contextualSpacing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566" w:type="dxa"/>
          </w:tcPr>
          <w:p w:rsidR="002973E7" w:rsidRPr="004171F4" w:rsidRDefault="00293945" w:rsidP="00061942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7 760 000</w:t>
            </w:r>
            <w:r w:rsidR="002973E7"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67" w:type="dxa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6" w:type="dxa"/>
            <w:gridSpan w:val="5"/>
          </w:tcPr>
          <w:p w:rsidR="002973E7" w:rsidRPr="004171F4" w:rsidRDefault="00293945" w:rsidP="0006194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7 760 000</w:t>
            </w:r>
            <w:r w:rsidR="002973E7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68" w:type="dxa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5" w:type="dxa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</w:tr>
      <w:tr w:rsidR="002973E7" w:rsidRPr="004171F4" w:rsidTr="00D65A87">
        <w:trPr>
          <w:gridAfter w:val="1"/>
          <w:wAfter w:w="11" w:type="dxa"/>
          <w:trHeight w:val="20114"/>
        </w:trPr>
        <w:tc>
          <w:tcPr>
            <w:tcW w:w="421" w:type="dxa"/>
            <w:hideMark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993" w:type="dxa"/>
          </w:tcPr>
          <w:p w:rsidR="002973E7" w:rsidRPr="004171F4" w:rsidRDefault="002973E7" w:rsidP="00EF7FFC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26.20.15</w:t>
            </w:r>
          </w:p>
        </w:tc>
        <w:tc>
          <w:tcPr>
            <w:tcW w:w="2266" w:type="dxa"/>
          </w:tcPr>
          <w:p w:rsidR="002973E7" w:rsidRPr="004171F4" w:rsidRDefault="002973E7" w:rsidP="002973E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</w:tcPr>
          <w:p w:rsidR="002973E7" w:rsidRPr="004171F4" w:rsidRDefault="002973E7" w:rsidP="00061942">
            <w:pPr>
              <w:spacing w:after="0" w:line="240" w:lineRule="auto"/>
              <w:ind w:right="-106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Система хранения данных</w:t>
            </w:r>
          </w:p>
        </w:tc>
        <w:tc>
          <w:tcPr>
            <w:tcW w:w="5675" w:type="dxa"/>
          </w:tcPr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Система хранения данных (СХД) должна обладать следующими характеристиками: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Полезная дисковая емкость без учета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дедупликации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и компрессии (доступная для размещения виртуальных машин): не менее 150 Тб;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Тип применяемых дисков: SSD;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Количество IOPS (r\w:70\30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block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: 8k): не менее 320 000;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Задержка (r\w:70\30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block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: 8k): менее 1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мс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Количество контроллерных модулей: не менее 2 шт.;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иметь архитектуру, обеспечивающую резервирование всех ключевых электронных компонентов и соединений;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представлять из себя целостное решение от одного производителя, включающее в себя программную и аппаратную составляющие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СХД должна оснащаться не менее, чем двумя резервируемыми контроллерными модулями, работающими в режиме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Symmetric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Active-Active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. Не допускается режим ALUA, то есть все пути доступа от логических томов до хостов должны быть равнозначными и активными. При отказе/замене контроллера балансировка пулов/LUN на контроллерах должна выполняться в автоматическом режиме;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На СХД должна отсутствовать привязка логических томов и пулов к определенному контроллеру;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Контроллерное шасси СХД должно содержать в себе оба контроллерных модуля, быть выполнено в форм-факторе для установки в стандартный 19 дюймовый серверный шкаф и иметь монтажную высоту не более 3U;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Внутренняя коммутация в контроллерах СХД должна быть построена на базе шины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PCIe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3.0 или выше;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Контроллерное шасси СХД должно иметь не менее двух резервируемых блоков питания с поддержкой «горячей» замены;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Все контроллеры должны иметь равнозначный доступ ко всем накопителям системы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Поддерживаемые протоколы: Контроллеры должны обеспечивать доступ к хранимым в системе данным через протоколы FC,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iSCSI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, CIFS (SMB), NFS;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Должна быть возможность подключения дисковых полок с дублированием канала соединения;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Дисковые полки должны быть выполнены в форм-факторе для установки в стандартный 19 дюймовый серверный шкаф и иметь монтажную высоту не более 4U;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Дисковые полки должны поддерживать установку не менее двух резервируемых блоков питания с поддержкой горячей замены;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Дисковые полки должны обеспечивать возможность горячей замены устанавливаемых накопителей всех поддерживаемых типов;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Дисковая полка должна поддерживать накопители максимальным объемом не менее 15.4Тб;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Коммутация дисковых полок должна быть построена на базе шины SAS версии 3.0 или выше;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Система хранения должна иметь возможность масштабироваться, с минимально начальной конфигурации, с </w:t>
            </w:r>
            <w:r w:rsidRPr="0073664C">
              <w:rPr>
                <w:rFonts w:cs="Tahoma"/>
                <w:sz w:val="16"/>
                <w:szCs w:val="16"/>
              </w:rPr>
              <w:lastRenderedPageBreak/>
              <w:t>шагом по 1 физическому диску и последующей автоматической балансировкой логического добавленного пространства;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СХД должна обеспечивать доступ к данным посредством протоколов FC,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iSCSI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, NFS, CIFS;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иметь реализацию защиты данных с поддержкой одновременного выхода из строя до 4 произвольных накопителей в рамках одного и того же пула хранения;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Для уменьшения времени восстановления после выхода из строя диска, система должна иметь распределенное резервирование пространства в рамках пула хранения. Использование выделенных резервных дисков не допускается. При выходе из строя одного из дисков СХД должна автоматически перераспределять данные внутри пула без использования дополнительных выделенных резервных дисков;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иметь не менее 8 портов FC 16 Гбит/с;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СХД должна иметь не менее 8 портов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с максимальной скоростью передачи данных каждого порта не менее 25 Гбит/с;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Кэш-память на чтение и запись должна быть построена на базе оперативной памяти с технологией не хуже DDR4; не допускается использование SSD или другой отличной от RAM памяти для кэширования;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поддерживать базовую функциональность по созданию, удалению, расширению логических томов;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иметь возможность мониторинга по протоколу SNMP;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иметь модуль расширенной самодиагностики, позволяющий выполнять мониторинг работоспособности компонентов;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хранить данные мониторинга системы глубиной до 1 года без установки дополнительного ПО;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поставляться с набором лицензий без ограничения по емкости/количеству дисков и без ограничения срока;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СХД должна поддерживать синхронную репликацию на другую аналогичную систему;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Репликация должна выполняться через выделенные на контроллерах порты, которые не задействованы под доступ к данным;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Репликация должна поддерживать двунаправленную репликацию данных между системами по протоколам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iSCSI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 xml:space="preserve"> или FC;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Должна поддерживаться возможность репликации логического диска по протоколу FC, а его презентация по протоколу </w:t>
            </w:r>
            <w:proofErr w:type="spellStart"/>
            <w:r w:rsidRPr="0073664C">
              <w:rPr>
                <w:rFonts w:cs="Tahoma"/>
                <w:sz w:val="16"/>
                <w:szCs w:val="16"/>
              </w:rPr>
              <w:t>iSCSI</w:t>
            </w:r>
            <w:proofErr w:type="spellEnd"/>
            <w:r w:rsidRPr="0073664C">
              <w:rPr>
                <w:rFonts w:cs="Tahoma"/>
                <w:sz w:val="16"/>
                <w:szCs w:val="16"/>
              </w:rPr>
              <w:t>;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Система хранения данных должна поставляться с гарантией производителя сроком не менее, чем на 5 (пять) лет, включающей поддержку оборудования и встроенного ПО. Прием обращений 24x7. Время реакции на обращение не более 4 часов.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>Сведения о СХД должны содержатся в едином реестре российской радиоэлектронной продукции</w:t>
            </w:r>
          </w:p>
          <w:p w:rsidR="0073664C" w:rsidRPr="0073664C" w:rsidRDefault="0073664C" w:rsidP="0073664C">
            <w:pPr>
              <w:pStyle w:val="a6"/>
              <w:tabs>
                <w:tab w:val="left" w:pos="200"/>
              </w:tabs>
              <w:spacing w:after="0"/>
              <w:ind w:right="-106"/>
              <w:rPr>
                <w:rFonts w:cs="Tahoma"/>
                <w:sz w:val="16"/>
                <w:szCs w:val="16"/>
              </w:rPr>
            </w:pPr>
            <w:r w:rsidRPr="0073664C">
              <w:rPr>
                <w:rFonts w:cs="Tahoma"/>
                <w:sz w:val="16"/>
                <w:szCs w:val="16"/>
              </w:rPr>
              <w:t xml:space="preserve">Встроенное программное обеспечение для данной СХД должно быть зарегистрировано в Едином реестре российских программ для электронных вычислительных машин и баз данных </w:t>
            </w:r>
            <w:r w:rsidRPr="0073664C">
              <w:rPr>
                <w:rFonts w:cs="Tahoma"/>
                <w:sz w:val="16"/>
                <w:szCs w:val="16"/>
              </w:rPr>
              <w:lastRenderedPageBreak/>
              <w:t>Министерства связи и массовых коммуникаций Российской Федерации</w:t>
            </w:r>
          </w:p>
          <w:p w:rsidR="002973E7" w:rsidRPr="004171F4" w:rsidRDefault="002973E7" w:rsidP="00061942">
            <w:pPr>
              <w:tabs>
                <w:tab w:val="left" w:pos="142"/>
                <w:tab w:val="left" w:pos="200"/>
              </w:tabs>
              <w:spacing w:after="0" w:line="240" w:lineRule="auto"/>
              <w:ind w:right="-106"/>
              <w:contextualSpacing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1285" w:type="dxa"/>
            <w:gridSpan w:val="3"/>
          </w:tcPr>
          <w:p w:rsidR="002973E7" w:rsidRPr="004171F4" w:rsidRDefault="002973E7" w:rsidP="00735B9B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5</w:t>
            </w:r>
            <w:r w:rsidR="00735B9B"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7</w:t>
            </w: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="00735B9B"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153</w:t>
            </w: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568" w:type="dxa"/>
            <w:gridSpan w:val="2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66" w:type="dxa"/>
            <w:gridSpan w:val="2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568" w:type="dxa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</w:tcPr>
          <w:p w:rsidR="002973E7" w:rsidRPr="004171F4" w:rsidRDefault="00735B9B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735B9B">
              <w:rPr>
                <w:rFonts w:eastAsia="Times New Roman" w:cs="Tahoma"/>
                <w:sz w:val="16"/>
                <w:szCs w:val="16"/>
                <w:lang w:eastAsia="ru-RU"/>
              </w:rPr>
              <w:t>57 153 000,00</w:t>
            </w:r>
          </w:p>
        </w:tc>
      </w:tr>
      <w:tr w:rsidR="00061942" w:rsidRPr="004171F4" w:rsidTr="00D65A87">
        <w:trPr>
          <w:gridAfter w:val="1"/>
          <w:wAfter w:w="6" w:type="dxa"/>
          <w:trHeight w:val="20"/>
        </w:trPr>
        <w:tc>
          <w:tcPr>
            <w:tcW w:w="421" w:type="dxa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60" w:type="dxa"/>
            <w:gridSpan w:val="9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cs="Tahoma"/>
                <w:b/>
                <w:bCs/>
                <w:color w:val="000000"/>
                <w:sz w:val="16"/>
                <w:szCs w:val="16"/>
                <w:lang w:eastAsia="ru-RU"/>
              </w:rPr>
              <w:t>Итого: </w:t>
            </w:r>
          </w:p>
        </w:tc>
        <w:tc>
          <w:tcPr>
            <w:tcW w:w="568" w:type="dxa"/>
            <w:gridSpan w:val="2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54" w:type="dxa"/>
            <w:vAlign w:val="center"/>
          </w:tcPr>
          <w:p w:rsidR="00061942" w:rsidRPr="004171F4" w:rsidRDefault="0073664C" w:rsidP="0006194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6"/>
                <w:szCs w:val="16"/>
                <w:lang w:eastAsia="ru-RU"/>
              </w:rPr>
            </w:pPr>
            <w:r w:rsidRPr="0073664C">
              <w:rPr>
                <w:rFonts w:eastAsia="Times New Roman" w:cs="Tahoma"/>
                <w:b/>
                <w:sz w:val="16"/>
                <w:szCs w:val="16"/>
                <w:lang w:eastAsia="ru-RU"/>
              </w:rPr>
              <w:t>61 597 000,00</w:t>
            </w:r>
          </w:p>
        </w:tc>
        <w:tc>
          <w:tcPr>
            <w:tcW w:w="568" w:type="dxa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061942" w:rsidRPr="004171F4" w:rsidRDefault="0073664C" w:rsidP="0006194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6"/>
                <w:szCs w:val="16"/>
                <w:lang w:eastAsia="ru-RU"/>
              </w:rPr>
            </w:pPr>
            <w:r w:rsidRPr="0073664C">
              <w:rPr>
                <w:rFonts w:eastAsia="Times New Roman" w:cs="Tahoma"/>
                <w:b/>
                <w:sz w:val="16"/>
                <w:szCs w:val="16"/>
                <w:lang w:eastAsia="ru-RU"/>
              </w:rPr>
              <w:t>57 153 000,00</w:t>
            </w:r>
          </w:p>
        </w:tc>
      </w:tr>
      <w:tr w:rsidR="00061942" w:rsidRPr="004171F4" w:rsidTr="00D65A87">
        <w:trPr>
          <w:trHeight w:val="20"/>
        </w:trPr>
        <w:tc>
          <w:tcPr>
            <w:tcW w:w="421" w:type="dxa"/>
            <w:vAlign w:val="center"/>
          </w:tcPr>
          <w:p w:rsidR="00061942" w:rsidRPr="004171F4" w:rsidRDefault="00061942" w:rsidP="0006194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60" w:type="dxa"/>
            <w:gridSpan w:val="9"/>
            <w:vAlign w:val="center"/>
          </w:tcPr>
          <w:p w:rsidR="00061942" w:rsidRPr="004171F4" w:rsidRDefault="00061942" w:rsidP="00061942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cs="Tahoma"/>
                <w:b/>
                <w:spacing w:val="-4"/>
                <w:sz w:val="16"/>
                <w:szCs w:val="16"/>
                <w:lang w:eastAsia="ru-RU"/>
              </w:rPr>
              <w:t xml:space="preserve">ВСЕГО: (АО «ЭнергосбыТ Плюс», </w:t>
            </w:r>
            <w:r w:rsidRPr="004171F4">
              <w:rPr>
                <w:rFonts w:cs="Tahoma"/>
                <w:b/>
                <w:sz w:val="16"/>
                <w:szCs w:val="16"/>
                <w:lang w:eastAsia="ru-RU"/>
              </w:rPr>
              <w:t xml:space="preserve">АО «Коми </w:t>
            </w:r>
            <w:proofErr w:type="spellStart"/>
            <w:r w:rsidRPr="004171F4">
              <w:rPr>
                <w:rFonts w:cs="Tahoma"/>
                <w:b/>
                <w:sz w:val="16"/>
                <w:szCs w:val="16"/>
                <w:lang w:eastAsia="ru-RU"/>
              </w:rPr>
              <w:t>энергосбытовая</w:t>
            </w:r>
            <w:proofErr w:type="spellEnd"/>
            <w:r w:rsidRPr="004171F4">
              <w:rPr>
                <w:rFonts w:cs="Tahoma"/>
                <w:b/>
                <w:sz w:val="16"/>
                <w:szCs w:val="16"/>
                <w:lang w:eastAsia="ru-RU"/>
              </w:rPr>
              <w:t xml:space="preserve"> компания»)</w:t>
            </w:r>
          </w:p>
        </w:tc>
        <w:tc>
          <w:tcPr>
            <w:tcW w:w="3671" w:type="dxa"/>
            <w:gridSpan w:val="6"/>
            <w:vAlign w:val="center"/>
          </w:tcPr>
          <w:p w:rsidR="00061942" w:rsidRPr="004171F4" w:rsidRDefault="0073664C" w:rsidP="00061942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</w:rPr>
            </w:pPr>
            <w:r w:rsidRPr="0073664C">
              <w:rPr>
                <w:rFonts w:eastAsia="Times New Roman" w:cs="Tahoma"/>
                <w:b/>
                <w:color w:val="000000"/>
                <w:sz w:val="16"/>
                <w:szCs w:val="16"/>
              </w:rPr>
              <w:t>118 750 000,00</w:t>
            </w:r>
          </w:p>
        </w:tc>
      </w:tr>
    </w:tbl>
    <w:p w:rsidR="00E76AE1" w:rsidRPr="008B59EE" w:rsidRDefault="00E76AE1" w:rsidP="008B59EE">
      <w:pPr>
        <w:tabs>
          <w:tab w:val="left" w:pos="1560"/>
        </w:tabs>
        <w:spacing w:after="0" w:line="240" w:lineRule="auto"/>
        <w:rPr>
          <w:rFonts w:cs="Tahoma"/>
          <w:b/>
          <w:sz w:val="2"/>
          <w:szCs w:val="2"/>
        </w:rPr>
      </w:pPr>
    </w:p>
    <w:sectPr w:rsidR="00E76AE1" w:rsidRPr="008B59EE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AC2" w:rsidRDefault="00FA5AC2" w:rsidP="009A32CA">
      <w:pPr>
        <w:spacing w:after="0" w:line="240" w:lineRule="auto"/>
      </w:pPr>
      <w:r>
        <w:separator/>
      </w:r>
    </w:p>
  </w:endnote>
  <w:endnote w:type="continuationSeparator" w:id="0">
    <w:p w:rsidR="00FA5AC2" w:rsidRDefault="00FA5AC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AC2" w:rsidRDefault="00FA5AC2" w:rsidP="009A32CA">
      <w:pPr>
        <w:spacing w:after="0" w:line="240" w:lineRule="auto"/>
      </w:pPr>
      <w:r>
        <w:separator/>
      </w:r>
    </w:p>
  </w:footnote>
  <w:footnote w:type="continuationSeparator" w:id="0">
    <w:p w:rsidR="00FA5AC2" w:rsidRDefault="00FA5AC2" w:rsidP="009A32CA">
      <w:pPr>
        <w:spacing w:after="0" w:line="240" w:lineRule="auto"/>
      </w:pPr>
      <w:r>
        <w:continuationSeparator/>
      </w:r>
    </w:p>
  </w:footnote>
  <w:footnote w:id="1">
    <w:p w:rsidR="00FA1223" w:rsidRDefault="00FA1223" w:rsidP="00E76AE1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E76AE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15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B35DC"/>
    <w:multiLevelType w:val="hybridMultilevel"/>
    <w:tmpl w:val="FF18C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28D786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CA308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F21A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934E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6E10D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96C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7A6F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31371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1677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AB436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094C3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4241A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2823C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953A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1438D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5F1B5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07259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1704E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74E3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2A5D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CB49E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21163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EA3C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0E0AE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F84C08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7C4FF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E434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05159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C0097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2941A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883F3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E23E3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E62AF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6771A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96486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F50108"/>
    <w:multiLevelType w:val="hybridMultilevel"/>
    <w:tmpl w:val="86944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97A3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0F334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E2C191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EE1A5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7B249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16645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4056AF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6B484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A8240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766C5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260F61"/>
    <w:multiLevelType w:val="multilevel"/>
    <w:tmpl w:val="823E1C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6D954A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DEA6AB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F4D38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FBE20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3D342F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5A45FA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5B43A3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663188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6A86B7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17"/>
  </w:num>
  <w:num w:numId="3">
    <w:abstractNumId w:val="43"/>
  </w:num>
  <w:num w:numId="4">
    <w:abstractNumId w:val="23"/>
  </w:num>
  <w:num w:numId="5">
    <w:abstractNumId w:val="31"/>
  </w:num>
  <w:num w:numId="6">
    <w:abstractNumId w:val="25"/>
  </w:num>
  <w:num w:numId="7">
    <w:abstractNumId w:val="21"/>
  </w:num>
  <w:num w:numId="8">
    <w:abstractNumId w:val="11"/>
  </w:num>
  <w:num w:numId="9">
    <w:abstractNumId w:val="34"/>
  </w:num>
  <w:num w:numId="10">
    <w:abstractNumId w:val="12"/>
  </w:num>
  <w:num w:numId="11">
    <w:abstractNumId w:val="14"/>
  </w:num>
  <w:num w:numId="12">
    <w:abstractNumId w:val="53"/>
  </w:num>
  <w:num w:numId="13">
    <w:abstractNumId w:val="51"/>
  </w:num>
  <w:num w:numId="14">
    <w:abstractNumId w:val="18"/>
  </w:num>
  <w:num w:numId="15">
    <w:abstractNumId w:val="49"/>
  </w:num>
  <w:num w:numId="16">
    <w:abstractNumId w:val="50"/>
  </w:num>
  <w:num w:numId="17">
    <w:abstractNumId w:val="57"/>
  </w:num>
  <w:num w:numId="18">
    <w:abstractNumId w:val="2"/>
  </w:num>
  <w:num w:numId="19">
    <w:abstractNumId w:val="26"/>
  </w:num>
  <w:num w:numId="20">
    <w:abstractNumId w:val="9"/>
  </w:num>
  <w:num w:numId="21">
    <w:abstractNumId w:val="7"/>
  </w:num>
  <w:num w:numId="22">
    <w:abstractNumId w:val="33"/>
  </w:num>
  <w:num w:numId="23">
    <w:abstractNumId w:val="8"/>
  </w:num>
  <w:num w:numId="24">
    <w:abstractNumId w:val="24"/>
  </w:num>
  <w:num w:numId="25">
    <w:abstractNumId w:val="54"/>
  </w:num>
  <w:num w:numId="26">
    <w:abstractNumId w:val="46"/>
  </w:num>
  <w:num w:numId="27">
    <w:abstractNumId w:val="5"/>
  </w:num>
  <w:num w:numId="28">
    <w:abstractNumId w:val="0"/>
  </w:num>
  <w:num w:numId="29">
    <w:abstractNumId w:val="6"/>
  </w:num>
  <w:num w:numId="30">
    <w:abstractNumId w:val="4"/>
  </w:num>
  <w:num w:numId="31">
    <w:abstractNumId w:val="45"/>
  </w:num>
  <w:num w:numId="32">
    <w:abstractNumId w:val="29"/>
  </w:num>
  <w:num w:numId="33">
    <w:abstractNumId w:val="41"/>
  </w:num>
  <w:num w:numId="34">
    <w:abstractNumId w:val="19"/>
  </w:num>
  <w:num w:numId="35">
    <w:abstractNumId w:val="40"/>
  </w:num>
  <w:num w:numId="36">
    <w:abstractNumId w:val="3"/>
  </w:num>
  <w:num w:numId="37">
    <w:abstractNumId w:val="38"/>
  </w:num>
  <w:num w:numId="38">
    <w:abstractNumId w:val="56"/>
  </w:num>
  <w:num w:numId="39">
    <w:abstractNumId w:val="35"/>
  </w:num>
  <w:num w:numId="40">
    <w:abstractNumId w:val="32"/>
  </w:num>
  <w:num w:numId="41">
    <w:abstractNumId w:val="47"/>
  </w:num>
  <w:num w:numId="42">
    <w:abstractNumId w:val="42"/>
  </w:num>
  <w:num w:numId="43">
    <w:abstractNumId w:val="52"/>
  </w:num>
  <w:num w:numId="44">
    <w:abstractNumId w:val="27"/>
  </w:num>
  <w:num w:numId="45">
    <w:abstractNumId w:val="16"/>
  </w:num>
  <w:num w:numId="46">
    <w:abstractNumId w:val="15"/>
  </w:num>
  <w:num w:numId="47">
    <w:abstractNumId w:val="44"/>
  </w:num>
  <w:num w:numId="48">
    <w:abstractNumId w:val="36"/>
  </w:num>
  <w:num w:numId="49">
    <w:abstractNumId w:val="55"/>
  </w:num>
  <w:num w:numId="50">
    <w:abstractNumId w:val="10"/>
  </w:num>
  <w:num w:numId="51">
    <w:abstractNumId w:val="30"/>
  </w:num>
  <w:num w:numId="52">
    <w:abstractNumId w:val="13"/>
  </w:num>
  <w:num w:numId="53">
    <w:abstractNumId w:val="22"/>
  </w:num>
  <w:num w:numId="54">
    <w:abstractNumId w:val="20"/>
  </w:num>
  <w:num w:numId="55">
    <w:abstractNumId w:val="28"/>
  </w:num>
  <w:num w:numId="56">
    <w:abstractNumId w:val="37"/>
  </w:num>
  <w:num w:numId="57">
    <w:abstractNumId w:val="58"/>
  </w:num>
  <w:num w:numId="58">
    <w:abstractNumId w:val="48"/>
  </w:num>
  <w:num w:numId="59">
    <w:abstractNumId w:val="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233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1E4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942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4D7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594"/>
    <w:rsid w:val="000B4A3D"/>
    <w:rsid w:val="000B5007"/>
    <w:rsid w:val="000B5D57"/>
    <w:rsid w:val="000B6916"/>
    <w:rsid w:val="000B6D47"/>
    <w:rsid w:val="000C13A1"/>
    <w:rsid w:val="000C1D7B"/>
    <w:rsid w:val="000C2112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6C2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52A3"/>
    <w:rsid w:val="001962EE"/>
    <w:rsid w:val="00197C92"/>
    <w:rsid w:val="001A0630"/>
    <w:rsid w:val="001A13BD"/>
    <w:rsid w:val="001A235E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B7B8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034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45A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66F7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516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3945"/>
    <w:rsid w:val="00294734"/>
    <w:rsid w:val="00295219"/>
    <w:rsid w:val="00295AB9"/>
    <w:rsid w:val="002967D8"/>
    <w:rsid w:val="002973E7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0888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7583"/>
    <w:rsid w:val="00350417"/>
    <w:rsid w:val="00350706"/>
    <w:rsid w:val="0035127E"/>
    <w:rsid w:val="00351E02"/>
    <w:rsid w:val="00352379"/>
    <w:rsid w:val="00353355"/>
    <w:rsid w:val="003538DD"/>
    <w:rsid w:val="00355895"/>
    <w:rsid w:val="00355D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426"/>
    <w:rsid w:val="00386881"/>
    <w:rsid w:val="00386B6C"/>
    <w:rsid w:val="00386DA5"/>
    <w:rsid w:val="0038750E"/>
    <w:rsid w:val="0038796C"/>
    <w:rsid w:val="00387C34"/>
    <w:rsid w:val="00390299"/>
    <w:rsid w:val="003907BD"/>
    <w:rsid w:val="003922C5"/>
    <w:rsid w:val="00393E37"/>
    <w:rsid w:val="0039563C"/>
    <w:rsid w:val="00395822"/>
    <w:rsid w:val="003958BE"/>
    <w:rsid w:val="003964D8"/>
    <w:rsid w:val="003976E2"/>
    <w:rsid w:val="003A052B"/>
    <w:rsid w:val="003A15BB"/>
    <w:rsid w:val="003A186A"/>
    <w:rsid w:val="003A202D"/>
    <w:rsid w:val="003A27DC"/>
    <w:rsid w:val="003A2A00"/>
    <w:rsid w:val="003A38F6"/>
    <w:rsid w:val="003A3BD0"/>
    <w:rsid w:val="003A3BE5"/>
    <w:rsid w:val="003A3C3F"/>
    <w:rsid w:val="003A44AA"/>
    <w:rsid w:val="003A6DDF"/>
    <w:rsid w:val="003A7097"/>
    <w:rsid w:val="003B05BE"/>
    <w:rsid w:val="003B076B"/>
    <w:rsid w:val="003B0EDC"/>
    <w:rsid w:val="003B1452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1F4"/>
    <w:rsid w:val="004173E8"/>
    <w:rsid w:val="00417493"/>
    <w:rsid w:val="00417C26"/>
    <w:rsid w:val="00417E81"/>
    <w:rsid w:val="00420338"/>
    <w:rsid w:val="0042051A"/>
    <w:rsid w:val="004208C6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01F5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38C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1B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57C0A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793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1625"/>
    <w:rsid w:val="005F1CFA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5B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4E0D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CE9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196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50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A7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27A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06AB"/>
    <w:rsid w:val="0073171B"/>
    <w:rsid w:val="00732920"/>
    <w:rsid w:val="00732C4F"/>
    <w:rsid w:val="0073308F"/>
    <w:rsid w:val="00734750"/>
    <w:rsid w:val="00735B9B"/>
    <w:rsid w:val="0073664C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267"/>
    <w:rsid w:val="007676D8"/>
    <w:rsid w:val="007678D5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6619"/>
    <w:rsid w:val="00777AC0"/>
    <w:rsid w:val="007810C3"/>
    <w:rsid w:val="00782F78"/>
    <w:rsid w:val="00785716"/>
    <w:rsid w:val="00785B39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62E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1BCA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DE1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59EE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D712D"/>
    <w:rsid w:val="008E1977"/>
    <w:rsid w:val="008E28BC"/>
    <w:rsid w:val="008E2D15"/>
    <w:rsid w:val="008E50CC"/>
    <w:rsid w:val="008E5EDD"/>
    <w:rsid w:val="008E5F53"/>
    <w:rsid w:val="008E660F"/>
    <w:rsid w:val="008E6A79"/>
    <w:rsid w:val="008F02E8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54B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3F9B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C23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634B"/>
    <w:rsid w:val="00A8725C"/>
    <w:rsid w:val="00A87F62"/>
    <w:rsid w:val="00A87F8C"/>
    <w:rsid w:val="00A9000A"/>
    <w:rsid w:val="00A9023A"/>
    <w:rsid w:val="00A90317"/>
    <w:rsid w:val="00A92968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3483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D98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30B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1C76"/>
    <w:rsid w:val="00BE240F"/>
    <w:rsid w:val="00BE3075"/>
    <w:rsid w:val="00BE340C"/>
    <w:rsid w:val="00BE3D94"/>
    <w:rsid w:val="00BE4FA9"/>
    <w:rsid w:val="00BE67E6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5603"/>
    <w:rsid w:val="00C362F2"/>
    <w:rsid w:val="00C3670E"/>
    <w:rsid w:val="00C36AA6"/>
    <w:rsid w:val="00C36AAC"/>
    <w:rsid w:val="00C37404"/>
    <w:rsid w:val="00C41F1C"/>
    <w:rsid w:val="00C42969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878"/>
    <w:rsid w:val="00C62D54"/>
    <w:rsid w:val="00C640EE"/>
    <w:rsid w:val="00C648A4"/>
    <w:rsid w:val="00C6536D"/>
    <w:rsid w:val="00C6595E"/>
    <w:rsid w:val="00C659DE"/>
    <w:rsid w:val="00C65BB2"/>
    <w:rsid w:val="00C65DE2"/>
    <w:rsid w:val="00C6747A"/>
    <w:rsid w:val="00C67AEF"/>
    <w:rsid w:val="00C7032F"/>
    <w:rsid w:val="00C71C1B"/>
    <w:rsid w:val="00C72C60"/>
    <w:rsid w:val="00C75FDE"/>
    <w:rsid w:val="00C77704"/>
    <w:rsid w:val="00C778C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870"/>
    <w:rsid w:val="00CB1B2A"/>
    <w:rsid w:val="00CB2296"/>
    <w:rsid w:val="00CB2AB5"/>
    <w:rsid w:val="00CB2C84"/>
    <w:rsid w:val="00CB3102"/>
    <w:rsid w:val="00CB4DBD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890"/>
    <w:rsid w:val="00CD1B23"/>
    <w:rsid w:val="00CD1EE6"/>
    <w:rsid w:val="00CD24C6"/>
    <w:rsid w:val="00CD2D33"/>
    <w:rsid w:val="00CD3017"/>
    <w:rsid w:val="00CD427B"/>
    <w:rsid w:val="00CD44A5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5A87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7AE"/>
    <w:rsid w:val="00D85D22"/>
    <w:rsid w:val="00D86277"/>
    <w:rsid w:val="00D86600"/>
    <w:rsid w:val="00D86DDF"/>
    <w:rsid w:val="00D9050F"/>
    <w:rsid w:val="00D913E7"/>
    <w:rsid w:val="00D9166B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434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625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6D94"/>
    <w:rsid w:val="00E37818"/>
    <w:rsid w:val="00E42434"/>
    <w:rsid w:val="00E43E39"/>
    <w:rsid w:val="00E45367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76AE1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69B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4C7A"/>
    <w:rsid w:val="00EF51D1"/>
    <w:rsid w:val="00EF5ADF"/>
    <w:rsid w:val="00EF6E7A"/>
    <w:rsid w:val="00EF7DEB"/>
    <w:rsid w:val="00EF7FD5"/>
    <w:rsid w:val="00EF7FFC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D4B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223"/>
    <w:rsid w:val="00FA1C2B"/>
    <w:rsid w:val="00FA1D55"/>
    <w:rsid w:val="00FA4324"/>
    <w:rsid w:val="00FA4496"/>
    <w:rsid w:val="00FA5076"/>
    <w:rsid w:val="00FA5AC2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2E77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6A52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8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paragraph" w:styleId="a9">
    <w:name w:val="Normal (Web)"/>
    <w:basedOn w:val="a"/>
    <w:uiPriority w:val="99"/>
    <w:unhideWhenUsed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7678D5"/>
    <w:rPr>
      <w:rFonts w:cs="Times New Roman"/>
    </w:rPr>
  </w:style>
  <w:style w:type="character" w:customStyle="1" w:styleId="s12">
    <w:name w:val="s12"/>
    <w:basedOn w:val="a0"/>
    <w:rsid w:val="007678D5"/>
    <w:rPr>
      <w:rFonts w:cs="Times New Roman"/>
    </w:rPr>
  </w:style>
  <w:style w:type="character" w:customStyle="1" w:styleId="s8">
    <w:name w:val="s8"/>
    <w:basedOn w:val="a0"/>
    <w:rsid w:val="007678D5"/>
    <w:rPr>
      <w:rFonts w:cs="Times New Roman"/>
    </w:rPr>
  </w:style>
  <w:style w:type="character" w:customStyle="1" w:styleId="a7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6"/>
    <w:uiPriority w:val="34"/>
    <w:qFormat/>
    <w:locked/>
    <w:rsid w:val="002066F7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92085-C7A7-4AA8-9C87-0F0E3847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3337</Words>
  <Characters>19023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Папина Наталья Александровна</cp:lastModifiedBy>
  <cp:revision>77</cp:revision>
  <dcterms:created xsi:type="dcterms:W3CDTF">2025-04-09T08:57:00Z</dcterms:created>
  <dcterms:modified xsi:type="dcterms:W3CDTF">2025-09-02T12:39:00Z</dcterms:modified>
</cp:coreProperties>
</file>